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5C8" w:rsidRDefault="004835C8" w:rsidP="004835C8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Palatino Linotype" w:hAnsi="Palatino Linotype" w:cs="Mangal"/>
          <w:b/>
          <w:bCs/>
          <w:kern w:val="2"/>
          <w:sz w:val="24"/>
          <w:szCs w:val="24"/>
          <w:lang w:eastAsia="hi-IN" w:bidi="hi-IN"/>
        </w:rPr>
        <w:t xml:space="preserve">BSZC – Kemény Gábor </w:t>
      </w:r>
      <w:bookmarkStart w:id="0" w:name="_GoBack"/>
      <w:r w:rsidR="00EA6F47">
        <w:rPr>
          <w:rFonts w:ascii="Palatino Linotype" w:hAnsi="Palatino Linotype" w:cs="Mangal"/>
          <w:b/>
          <w:bCs/>
          <w:kern w:val="2"/>
          <w:sz w:val="24"/>
          <w:szCs w:val="24"/>
          <w:lang w:eastAsia="hi-IN" w:bidi="hi-IN"/>
        </w:rPr>
        <w:t>Technikum</w:t>
      </w:r>
      <w:bookmarkEnd w:id="0"/>
    </w:p>
    <w:p w:rsidR="00270CAF" w:rsidRDefault="00270CAF" w:rsidP="00595770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595770" w:rsidRPr="002E360B" w:rsidRDefault="00595770" w:rsidP="00595770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  <w:r w:rsidRPr="002E36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54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E36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525 02</w:t>
      </w:r>
    </w:p>
    <w:p w:rsidR="00595770" w:rsidRDefault="00595770" w:rsidP="00595770">
      <w:pPr>
        <w:spacing w:after="0" w:line="240" w:lineRule="auto"/>
        <w:ind w:left="555" w:hanging="555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2E360B"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>AUTÓSZERELŐ</w:t>
      </w:r>
      <w:r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2E360B">
        <w:rPr>
          <w:rFonts w:ascii="Palatino Linotype" w:hAnsi="Palatino Linotype"/>
          <w:b/>
          <w:bCs/>
          <w:sz w:val="24"/>
          <w:szCs w:val="24"/>
        </w:rPr>
        <w:t>SZAKKÉPESÍTÉS</w:t>
      </w:r>
    </w:p>
    <w:p w:rsidR="00270CAF" w:rsidRPr="00595770" w:rsidRDefault="00270CAF" w:rsidP="00595770">
      <w:pPr>
        <w:spacing w:after="0" w:line="240" w:lineRule="auto"/>
        <w:ind w:left="555" w:hanging="555"/>
        <w:jc w:val="center"/>
        <w:rPr>
          <w:rFonts w:ascii="Palatino Linotype" w:hAnsi="Palatino Linotype" w:cs="Mangal"/>
          <w:b/>
          <w:bCs/>
          <w:kern w:val="1"/>
          <w:sz w:val="24"/>
          <w:szCs w:val="24"/>
          <w:lang w:eastAsia="hi-IN" w:bidi="hi-IN"/>
        </w:rPr>
      </w:pPr>
    </w:p>
    <w:p w:rsidR="00530EAD" w:rsidRDefault="00595770" w:rsidP="00DD7088">
      <w:pPr>
        <w:jc w:val="center"/>
      </w:pPr>
      <w:r>
        <w:t xml:space="preserve">Az </w:t>
      </w:r>
    </w:p>
    <w:p w:rsidR="00530EAD" w:rsidRPr="00530EAD" w:rsidRDefault="00595770" w:rsidP="00DD7088">
      <w:pPr>
        <w:jc w:val="center"/>
        <w:rPr>
          <w:b/>
          <w:sz w:val="32"/>
          <w:szCs w:val="32"/>
        </w:rPr>
      </w:pPr>
      <w:r w:rsidRPr="00530EAD">
        <w:rPr>
          <w:b/>
          <w:sz w:val="32"/>
          <w:szCs w:val="32"/>
        </w:rPr>
        <w:t>összefüggő szakmai gyakorlat</w:t>
      </w:r>
      <w:r w:rsidR="00BB7286" w:rsidRPr="00530EAD">
        <w:rPr>
          <w:b/>
          <w:sz w:val="32"/>
          <w:szCs w:val="32"/>
        </w:rPr>
        <w:t xml:space="preserve"> </w:t>
      </w:r>
    </w:p>
    <w:p w:rsidR="00595770" w:rsidRDefault="00BB7286" w:rsidP="00DD7088">
      <w:pPr>
        <w:jc w:val="center"/>
      </w:pPr>
      <w:r>
        <w:t>(nyári gyakorlat)</w:t>
      </w:r>
      <w:r w:rsidR="00595770">
        <w:t xml:space="preserve"> </w:t>
      </w:r>
      <w:r w:rsidR="00DD7088">
        <w:t xml:space="preserve">óraszámai és </w:t>
      </w:r>
      <w:r w:rsidR="00595770">
        <w:t>követelményei</w:t>
      </w:r>
    </w:p>
    <w:p w:rsidR="00056402" w:rsidRPr="000D035B" w:rsidRDefault="00056402" w:rsidP="00056402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  <w:lang w:bidi="hi-IN"/>
        </w:rPr>
      </w:pPr>
      <w:r w:rsidRPr="000D035B">
        <w:rPr>
          <w:b/>
          <w:sz w:val="28"/>
          <w:szCs w:val="28"/>
          <w:lang w:bidi="hi-IN"/>
        </w:rPr>
        <w:t>I. Öt</w:t>
      </w:r>
      <w:r>
        <w:rPr>
          <w:b/>
          <w:sz w:val="28"/>
          <w:szCs w:val="28"/>
          <w:lang w:bidi="hi-IN"/>
        </w:rPr>
        <w:t xml:space="preserve"> </w:t>
      </w:r>
      <w:r w:rsidRPr="000D035B">
        <w:rPr>
          <w:b/>
          <w:sz w:val="28"/>
          <w:szCs w:val="28"/>
          <w:lang w:bidi="hi-IN"/>
        </w:rPr>
        <w:t>évfolyamos oktatás közismereti képzéssel</w:t>
      </w:r>
    </w:p>
    <w:p w:rsidR="00056402" w:rsidRPr="000D035B" w:rsidRDefault="00056402" w:rsidP="00056402">
      <w:pPr>
        <w:autoSpaceDE w:val="0"/>
        <w:autoSpaceDN w:val="0"/>
        <w:adjustRightInd w:val="0"/>
        <w:spacing w:after="0"/>
        <w:ind w:left="709"/>
        <w:jc w:val="center"/>
        <w:rPr>
          <w:szCs w:val="24"/>
          <w:lang w:bidi="hi-IN"/>
        </w:rPr>
      </w:pPr>
      <w:r w:rsidRPr="000D035B">
        <w:rPr>
          <w:szCs w:val="24"/>
          <w:lang w:bidi="hi-IN"/>
        </w:rPr>
        <w:t>11. évfolyamot követően 140 óra</w:t>
      </w:r>
    </w:p>
    <w:p w:rsidR="00056402" w:rsidRPr="000D035B" w:rsidRDefault="00056402" w:rsidP="00056402">
      <w:pPr>
        <w:autoSpaceDE w:val="0"/>
        <w:autoSpaceDN w:val="0"/>
        <w:adjustRightInd w:val="0"/>
        <w:spacing w:after="0"/>
        <w:ind w:left="709"/>
        <w:jc w:val="center"/>
        <w:rPr>
          <w:szCs w:val="24"/>
          <w:lang w:bidi="hi-IN"/>
        </w:rPr>
      </w:pPr>
    </w:p>
    <w:p w:rsidR="00056402" w:rsidRPr="000D035B" w:rsidRDefault="00056402" w:rsidP="00056402">
      <w:pPr>
        <w:widowControl w:val="0"/>
        <w:suppressAutoHyphens/>
        <w:spacing w:after="0"/>
        <w:rPr>
          <w:color w:val="333333"/>
          <w:szCs w:val="24"/>
          <w:shd w:val="clear" w:color="auto" w:fill="FFFFFF"/>
        </w:rPr>
      </w:pPr>
      <w:r w:rsidRPr="000D035B">
        <w:rPr>
          <w:color w:val="333333"/>
          <w:szCs w:val="24"/>
          <w:shd w:val="clear" w:color="auto" w:fill="FFFFFF"/>
        </w:rPr>
        <w:t>Az összefüggő nyári gyakorlat egészére vonatkozik a meghatározott óraszám, amelynek keretében az összes felsorolt elemet kötelezően oktatni kell az óraszámok részletezése nélkül, a tanulók egyéni kompetenciafejlesztése érdekében.</w:t>
      </w:r>
    </w:p>
    <w:p w:rsidR="00056402" w:rsidRPr="000D035B" w:rsidRDefault="00056402" w:rsidP="00056402">
      <w:pPr>
        <w:widowControl w:val="0"/>
        <w:suppressAutoHyphens/>
        <w:spacing w:after="0"/>
        <w:rPr>
          <w:iCs/>
          <w:kern w:val="1"/>
          <w:szCs w:val="24"/>
          <w:lang w:eastAsia="hi-IN" w:bidi="hi-IN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3"/>
        <w:gridCol w:w="4627"/>
      </w:tblGrid>
      <w:tr w:rsidR="00056402" w:rsidRPr="000D035B" w:rsidTr="00FB4AC4">
        <w:tc>
          <w:tcPr>
            <w:tcW w:w="4623" w:type="dxa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b/>
                <w:iCs/>
                <w:kern w:val="1"/>
                <w:szCs w:val="24"/>
                <w:lang w:eastAsia="hi-IN" w:bidi="hi-IN"/>
              </w:rPr>
            </w:pPr>
            <w:r w:rsidRPr="000D035B">
              <w:rPr>
                <w:b/>
                <w:iCs/>
                <w:kern w:val="1"/>
                <w:szCs w:val="24"/>
                <w:lang w:eastAsia="hi-IN" w:bidi="hi-IN"/>
              </w:rPr>
              <w:t>Szakmai követelménymodulok</w:t>
            </w:r>
          </w:p>
        </w:tc>
        <w:tc>
          <w:tcPr>
            <w:tcW w:w="4627" w:type="dxa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  <w:r w:rsidRPr="000D035B">
              <w:rPr>
                <w:b/>
                <w:iCs/>
                <w:kern w:val="1"/>
                <w:szCs w:val="24"/>
                <w:lang w:eastAsia="hi-IN" w:bidi="hi-IN"/>
              </w:rPr>
              <w:t>Tantárgyak</w:t>
            </w:r>
            <w:r w:rsidRPr="000D035B">
              <w:rPr>
                <w:iCs/>
                <w:kern w:val="1"/>
                <w:szCs w:val="24"/>
                <w:lang w:eastAsia="hi-IN" w:bidi="hi-IN"/>
              </w:rPr>
              <w:t>/Témakörök</w:t>
            </w:r>
          </w:p>
        </w:tc>
      </w:tr>
      <w:tr w:rsidR="00056402" w:rsidRPr="000D035B" w:rsidTr="00FB4AC4">
        <w:trPr>
          <w:trHeight w:val="300"/>
        </w:trPr>
        <w:tc>
          <w:tcPr>
            <w:tcW w:w="4623" w:type="dxa"/>
            <w:vMerge w:val="restart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b/>
                <w:szCs w:val="24"/>
                <w:lang w:eastAsia="hu-HU"/>
              </w:rPr>
            </w:pPr>
          </w:p>
          <w:p w:rsidR="00056402" w:rsidRPr="000D035B" w:rsidRDefault="00056402" w:rsidP="00FB4AC4">
            <w:pPr>
              <w:spacing w:after="0"/>
              <w:rPr>
                <w:b/>
                <w:szCs w:val="24"/>
                <w:lang w:eastAsia="hu-HU"/>
              </w:rPr>
            </w:pPr>
            <w:r w:rsidRPr="000D035B">
              <w:rPr>
                <w:b/>
                <w:szCs w:val="24"/>
                <w:lang w:eastAsia="hu-HU"/>
              </w:rPr>
              <w:t>10417-16</w:t>
            </w:r>
          </w:p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b/>
                <w:szCs w:val="24"/>
                <w:lang w:eastAsia="hu-HU"/>
              </w:rPr>
            </w:pPr>
            <w:r w:rsidRPr="000D035B">
              <w:rPr>
                <w:b/>
                <w:szCs w:val="24"/>
                <w:lang w:eastAsia="hu-HU"/>
              </w:rPr>
              <w:t xml:space="preserve">Közlekedéstechnikai gyakorlatok </w:t>
            </w:r>
          </w:p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b/>
                <w:szCs w:val="24"/>
                <w:lang w:eastAsia="hu-HU"/>
              </w:rPr>
            </w:pPr>
          </w:p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b/>
                <w:szCs w:val="24"/>
                <w:lang w:eastAsia="hu-HU"/>
              </w:rPr>
            </w:pPr>
          </w:p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b/>
                <w:szCs w:val="24"/>
                <w:lang w:eastAsia="hu-HU"/>
              </w:rPr>
            </w:pPr>
          </w:p>
        </w:tc>
        <w:tc>
          <w:tcPr>
            <w:tcW w:w="4627" w:type="dxa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b/>
                <w:iCs/>
                <w:kern w:val="1"/>
                <w:szCs w:val="24"/>
                <w:lang w:eastAsia="hi-IN" w:bidi="hi-IN"/>
              </w:rPr>
            </w:pPr>
            <w:r w:rsidRPr="000D035B">
              <w:rPr>
                <w:b/>
                <w:iCs/>
                <w:kern w:val="1"/>
                <w:szCs w:val="24"/>
                <w:lang w:eastAsia="hi-IN" w:bidi="hi-IN"/>
              </w:rPr>
              <w:t>Karbantartási gyakorlatok</w:t>
            </w:r>
          </w:p>
        </w:tc>
      </w:tr>
      <w:tr w:rsidR="00056402" w:rsidRPr="000D035B" w:rsidTr="00FB4AC4">
        <w:trPr>
          <w:trHeight w:val="345"/>
        </w:trPr>
        <w:tc>
          <w:tcPr>
            <w:tcW w:w="4623" w:type="dxa"/>
            <w:vMerge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  <w:r w:rsidRPr="000D035B">
              <w:rPr>
                <w:iCs/>
                <w:kern w:val="1"/>
                <w:szCs w:val="24"/>
                <w:lang w:eastAsia="hi-IN" w:bidi="hi-IN"/>
              </w:rPr>
              <w:t>Mérés és előrajzolás</w:t>
            </w:r>
          </w:p>
        </w:tc>
      </w:tr>
      <w:tr w:rsidR="00056402" w:rsidRPr="000D035B" w:rsidTr="00FB4AC4">
        <w:trPr>
          <w:trHeight w:val="300"/>
        </w:trPr>
        <w:tc>
          <w:tcPr>
            <w:tcW w:w="4623" w:type="dxa"/>
            <w:vMerge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  <w:r w:rsidRPr="000D035B">
              <w:rPr>
                <w:iCs/>
                <w:kern w:val="1"/>
                <w:szCs w:val="24"/>
                <w:lang w:eastAsia="hi-IN" w:bidi="hi-IN"/>
              </w:rPr>
              <w:t>Megmunkálás I.</w:t>
            </w:r>
          </w:p>
        </w:tc>
      </w:tr>
      <w:tr w:rsidR="00056402" w:rsidRPr="000D035B" w:rsidTr="00FB4AC4">
        <w:trPr>
          <w:trHeight w:val="315"/>
        </w:trPr>
        <w:tc>
          <w:tcPr>
            <w:tcW w:w="4623" w:type="dxa"/>
            <w:vMerge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  <w:r w:rsidRPr="000D035B">
              <w:rPr>
                <w:iCs/>
                <w:kern w:val="1"/>
                <w:szCs w:val="24"/>
                <w:lang w:eastAsia="hi-IN" w:bidi="hi-IN"/>
              </w:rPr>
              <w:t>Kötések</w:t>
            </w:r>
          </w:p>
        </w:tc>
      </w:tr>
      <w:tr w:rsidR="00056402" w:rsidRPr="000D035B" w:rsidTr="00FB4AC4">
        <w:trPr>
          <w:trHeight w:val="315"/>
        </w:trPr>
        <w:tc>
          <w:tcPr>
            <w:tcW w:w="4623" w:type="dxa"/>
            <w:vMerge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  <w:r w:rsidRPr="000D035B">
              <w:rPr>
                <w:iCs/>
                <w:kern w:val="1"/>
                <w:szCs w:val="24"/>
                <w:lang w:eastAsia="hi-IN" w:bidi="hi-IN"/>
              </w:rPr>
              <w:t>Megmunkálás II.</w:t>
            </w:r>
          </w:p>
        </w:tc>
      </w:tr>
      <w:tr w:rsidR="00056402" w:rsidRPr="000D035B" w:rsidTr="00FB4AC4">
        <w:trPr>
          <w:trHeight w:val="315"/>
        </w:trPr>
        <w:tc>
          <w:tcPr>
            <w:tcW w:w="4623" w:type="dxa"/>
            <w:vMerge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</w:p>
        </w:tc>
        <w:tc>
          <w:tcPr>
            <w:tcW w:w="4627" w:type="dxa"/>
          </w:tcPr>
          <w:p w:rsidR="00056402" w:rsidRPr="000D035B" w:rsidRDefault="00056402" w:rsidP="00FB4AC4">
            <w:pPr>
              <w:widowControl w:val="0"/>
              <w:suppressAutoHyphens/>
              <w:spacing w:after="0"/>
              <w:rPr>
                <w:iCs/>
                <w:kern w:val="1"/>
                <w:szCs w:val="24"/>
                <w:lang w:eastAsia="hi-IN" w:bidi="hi-IN"/>
              </w:rPr>
            </w:pPr>
            <w:r w:rsidRPr="000D035B">
              <w:rPr>
                <w:iCs/>
                <w:kern w:val="1"/>
                <w:szCs w:val="24"/>
                <w:lang w:eastAsia="hi-IN" w:bidi="hi-IN"/>
              </w:rPr>
              <w:t>Anyagvizsgálatok</w:t>
            </w:r>
          </w:p>
        </w:tc>
      </w:tr>
    </w:tbl>
    <w:p w:rsidR="00056402" w:rsidRPr="000D035B" w:rsidRDefault="00056402" w:rsidP="00056402">
      <w:pPr>
        <w:spacing w:after="0"/>
        <w:ind w:left="357"/>
        <w:rPr>
          <w:szCs w:val="24"/>
        </w:rPr>
      </w:pPr>
    </w:p>
    <w:p w:rsidR="00056402" w:rsidRPr="000D035B" w:rsidRDefault="00056402" w:rsidP="00056402">
      <w:pPr>
        <w:pStyle w:val="Listaszerbekezds"/>
        <w:spacing w:after="0"/>
        <w:rPr>
          <w:szCs w:val="24"/>
        </w:rPr>
      </w:pPr>
    </w:p>
    <w:p w:rsidR="00173553" w:rsidRPr="00173553" w:rsidRDefault="00173553" w:rsidP="00173553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>A szakmai követelménymodul azonosító száma, megnevezése</w:t>
      </w:r>
    </w:p>
    <w:p w:rsidR="00173553" w:rsidRPr="00173553" w:rsidRDefault="00173553" w:rsidP="00173553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  <w:vertAlign w:val="superscript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>10417-16 Közlekedéstechnikai gyakorlatok</w:t>
      </w:r>
    </w:p>
    <w:p w:rsidR="00173553" w:rsidRPr="00173553" w:rsidRDefault="00173553" w:rsidP="00173553">
      <w:pPr>
        <w:widowControl w:val="0"/>
        <w:suppressAutoHyphens/>
        <w:spacing w:after="0"/>
        <w:rPr>
          <w:rFonts w:ascii="Times New Roman" w:hAnsi="Times New Roman"/>
          <w:b/>
          <w:iCs/>
          <w:kern w:val="1"/>
          <w:sz w:val="24"/>
          <w:szCs w:val="24"/>
          <w:lang w:eastAsia="hi-IN" w:bidi="hi-IN"/>
        </w:rPr>
      </w:pPr>
    </w:p>
    <w:p w:rsidR="00173553" w:rsidRPr="00173553" w:rsidRDefault="00173553" w:rsidP="00173553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>Karbantartási gyakorlatok tantárgy</w:t>
      </w:r>
    </w:p>
    <w:p w:rsidR="00173553" w:rsidRPr="00173553" w:rsidRDefault="00173553" w:rsidP="00173553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</w:p>
    <w:p w:rsidR="00173553" w:rsidRPr="00173553" w:rsidRDefault="00173553" w:rsidP="00173553">
      <w:pPr>
        <w:spacing w:after="0"/>
        <w:ind w:left="1224" w:firstLine="194"/>
        <w:rPr>
          <w:rFonts w:ascii="Times New Roman" w:hAnsi="Times New Roman"/>
          <w:b/>
          <w:sz w:val="24"/>
          <w:szCs w:val="24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>Témakörök</w:t>
      </w:r>
    </w:p>
    <w:p w:rsidR="00173553" w:rsidRPr="00173553" w:rsidRDefault="00173553" w:rsidP="00173553">
      <w:pPr>
        <w:spacing w:after="0"/>
        <w:ind w:left="1224"/>
        <w:rPr>
          <w:rFonts w:ascii="Times New Roman" w:hAnsi="Times New Roman"/>
          <w:b/>
          <w:sz w:val="24"/>
          <w:szCs w:val="24"/>
          <w:lang w:eastAsia="hu-HU"/>
        </w:rPr>
      </w:pPr>
    </w:p>
    <w:p w:rsidR="00173553" w:rsidRPr="00173553" w:rsidRDefault="00173553" w:rsidP="00173553">
      <w:pPr>
        <w:spacing w:after="0"/>
        <w:ind w:left="515" w:firstLine="194"/>
        <w:rPr>
          <w:rFonts w:ascii="Times New Roman" w:hAnsi="Times New Roman"/>
          <w:b/>
          <w:sz w:val="24"/>
          <w:szCs w:val="24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>Mérés és előrajzolás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Mérés és ellenőrzés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Bonyolultabb mérő- és ellenőrző eszközök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Előrajzolás síkban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Térbeli előrajzolás</w:t>
      </w:r>
    </w:p>
    <w:p w:rsidR="00173553" w:rsidRPr="00173553" w:rsidRDefault="00173553" w:rsidP="00173553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>Megmunkálás I.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A kalapács használata, a nyújtás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Egyengetés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Hajlítás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Vágás, harapás, faragás, vésés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lastRenderedPageBreak/>
        <w:t>Nyírás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Lyukasztás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Fűrészelés</w:t>
      </w:r>
    </w:p>
    <w:p w:rsidR="00173553" w:rsidRPr="00173553" w:rsidRDefault="00173553" w:rsidP="00173553">
      <w:pPr>
        <w:spacing w:after="0"/>
        <w:ind w:left="1701"/>
        <w:rPr>
          <w:rFonts w:ascii="Times New Roman" w:hAnsi="Times New Roman"/>
          <w:b/>
          <w:i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Reszelés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Fúrás és süllyesztés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Kézi menetvágás</w:t>
      </w:r>
    </w:p>
    <w:p w:rsidR="00173553" w:rsidRPr="00173553" w:rsidRDefault="00173553" w:rsidP="00173553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 xml:space="preserve">Kötések 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Szegecselés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Csavarozás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Csapszegek és csapszegkötések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Kúpos kötés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Zsugorkötés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Ék és ékkötés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Retesz és reteszkötés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Lágyforrasztás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Fémragasztás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Keményforrasztás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Gázhegesztés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Ívhegesztés</w:t>
      </w:r>
    </w:p>
    <w:p w:rsidR="00173553" w:rsidRPr="00173553" w:rsidRDefault="00173553" w:rsidP="00173553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>Megmunkálás II.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Hántolás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Kovácsolás és hőkezelés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Szerszámélezés, köszörülés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Dörzsölés (dörzsárazás)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Esztergálás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Marás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Gyalulás</w:t>
      </w:r>
    </w:p>
    <w:p w:rsidR="00173553" w:rsidRPr="00173553" w:rsidRDefault="00173553" w:rsidP="00173553">
      <w:pPr>
        <w:spacing w:after="0"/>
        <w:ind w:firstLine="709"/>
        <w:rPr>
          <w:rFonts w:ascii="Times New Roman" w:hAnsi="Times New Roman"/>
          <w:b/>
          <w:sz w:val="24"/>
          <w:szCs w:val="24"/>
          <w:lang w:eastAsia="hu-HU"/>
        </w:rPr>
      </w:pPr>
      <w:r w:rsidRPr="00173553">
        <w:rPr>
          <w:rFonts w:ascii="Times New Roman" w:hAnsi="Times New Roman"/>
          <w:b/>
          <w:sz w:val="24"/>
          <w:szCs w:val="24"/>
          <w:lang w:eastAsia="hu-HU"/>
        </w:rPr>
        <w:t>Anyagvizsgálatok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Szerkezeti anyagok csoportosítása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Technológiai próbák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Szakítóvizsgálat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Keménységmérés</w:t>
      </w:r>
    </w:p>
    <w:p w:rsidR="00173553" w:rsidRPr="00173553" w:rsidRDefault="00173553" w:rsidP="00173553">
      <w:pPr>
        <w:pStyle w:val="Listaszerbekezds"/>
        <w:spacing w:after="0"/>
        <w:ind w:left="1701"/>
        <w:rPr>
          <w:rFonts w:ascii="Times New Roman" w:hAnsi="Times New Roman"/>
          <w:sz w:val="24"/>
          <w:szCs w:val="24"/>
        </w:rPr>
      </w:pPr>
      <w:r w:rsidRPr="00173553">
        <w:rPr>
          <w:rFonts w:ascii="Times New Roman" w:hAnsi="Times New Roman"/>
          <w:sz w:val="24"/>
          <w:szCs w:val="24"/>
        </w:rPr>
        <w:t>Roncsolásmentes anyagvizsgálati módszerek</w:t>
      </w:r>
    </w:p>
    <w:p w:rsidR="00595770" w:rsidRDefault="00595770" w:rsidP="00056402">
      <w:pPr>
        <w:widowControl w:val="0"/>
        <w:suppressAutoHyphens/>
        <w:spacing w:after="0"/>
      </w:pPr>
    </w:p>
    <w:sectPr w:rsidR="00595770" w:rsidSect="00530E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BE" w:rsidRDefault="001A3BBE" w:rsidP="00D41BFD">
      <w:pPr>
        <w:spacing w:after="0" w:line="240" w:lineRule="auto"/>
      </w:pPr>
      <w:r>
        <w:separator/>
      </w:r>
    </w:p>
  </w:endnote>
  <w:endnote w:type="continuationSeparator" w:id="0">
    <w:p w:rsidR="001A3BBE" w:rsidRDefault="001A3BBE" w:rsidP="00D4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866210"/>
      <w:docPartObj>
        <w:docPartGallery w:val="Page Numbers (Bottom of Page)"/>
        <w:docPartUnique/>
      </w:docPartObj>
    </w:sdtPr>
    <w:sdtEndPr/>
    <w:sdtContent>
      <w:p w:rsidR="00D41BFD" w:rsidRDefault="00D41B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F47">
          <w:rPr>
            <w:noProof/>
          </w:rPr>
          <w:t>2</w:t>
        </w:r>
        <w:r>
          <w:fldChar w:fldCharType="end"/>
        </w:r>
        <w:r>
          <w:t>/</w:t>
        </w:r>
        <w:r w:rsidR="001246CD">
          <w:rPr>
            <w:noProof/>
          </w:rPr>
          <w:fldChar w:fldCharType="begin"/>
        </w:r>
        <w:r w:rsidR="001246CD">
          <w:rPr>
            <w:noProof/>
          </w:rPr>
          <w:instrText xml:space="preserve"> NUMPAGES   \* MERGEFORMAT </w:instrText>
        </w:r>
        <w:r w:rsidR="001246CD">
          <w:rPr>
            <w:noProof/>
          </w:rPr>
          <w:fldChar w:fldCharType="separate"/>
        </w:r>
        <w:r w:rsidR="00EA6F47">
          <w:rPr>
            <w:noProof/>
          </w:rPr>
          <w:t>2</w:t>
        </w:r>
        <w:r w:rsidR="001246CD">
          <w:rPr>
            <w:noProof/>
          </w:rPr>
          <w:fldChar w:fldCharType="end"/>
        </w:r>
      </w:p>
    </w:sdtContent>
  </w:sdt>
  <w:p w:rsidR="00D41BFD" w:rsidRDefault="00D41BF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BE" w:rsidRDefault="001A3BBE" w:rsidP="00D41BFD">
      <w:pPr>
        <w:spacing w:after="0" w:line="240" w:lineRule="auto"/>
      </w:pPr>
      <w:r>
        <w:separator/>
      </w:r>
    </w:p>
  </w:footnote>
  <w:footnote w:type="continuationSeparator" w:id="0">
    <w:p w:rsidR="001A3BBE" w:rsidRDefault="001A3BBE" w:rsidP="00D4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BFD" w:rsidRDefault="00D41BF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1592"/>
    <w:multiLevelType w:val="multilevel"/>
    <w:tmpl w:val="4F922A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770"/>
    <w:rsid w:val="00022C92"/>
    <w:rsid w:val="00056402"/>
    <w:rsid w:val="000D7CB6"/>
    <w:rsid w:val="001246CD"/>
    <w:rsid w:val="00131170"/>
    <w:rsid w:val="00173553"/>
    <w:rsid w:val="001A3BBE"/>
    <w:rsid w:val="00270CAF"/>
    <w:rsid w:val="00401BC4"/>
    <w:rsid w:val="004835C8"/>
    <w:rsid w:val="00530EAD"/>
    <w:rsid w:val="00544A1B"/>
    <w:rsid w:val="00595770"/>
    <w:rsid w:val="006469E5"/>
    <w:rsid w:val="007916C0"/>
    <w:rsid w:val="007C3B1C"/>
    <w:rsid w:val="00830217"/>
    <w:rsid w:val="00895704"/>
    <w:rsid w:val="00A90A05"/>
    <w:rsid w:val="00B504C0"/>
    <w:rsid w:val="00BB7286"/>
    <w:rsid w:val="00BE220E"/>
    <w:rsid w:val="00D41BFD"/>
    <w:rsid w:val="00DD7088"/>
    <w:rsid w:val="00E80FDD"/>
    <w:rsid w:val="00EA6F47"/>
    <w:rsid w:val="00ED470A"/>
    <w:rsid w:val="00EF6C09"/>
    <w:rsid w:val="00F20F0F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BCE5"/>
  <w15:docId w15:val="{BC192AB1-627F-4033-8564-50CE3E05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770"/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95770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D4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BFD"/>
    <w:rPr>
      <w:rFonts w:ascii="Calibri" w:eastAsia="Times New Roman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41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B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admin</cp:lastModifiedBy>
  <cp:revision>11</cp:revision>
  <dcterms:created xsi:type="dcterms:W3CDTF">2016-02-15T11:23:00Z</dcterms:created>
  <dcterms:modified xsi:type="dcterms:W3CDTF">2020-10-21T13:54:00Z</dcterms:modified>
</cp:coreProperties>
</file>